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98B3B" w14:textId="77777777" w:rsidR="00680632" w:rsidRDefault="00680632" w:rsidP="6AAB5E47">
      <w:pPr>
        <w:spacing w:before="240" w:after="240"/>
        <w:rPr>
          <w:rStyle w:val="Heading2Char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246437B8" wp14:editId="5A97946D">
            <wp:simplePos x="0" y="0"/>
            <wp:positionH relativeFrom="margin">
              <wp:posOffset>23495</wp:posOffset>
            </wp:positionH>
            <wp:positionV relativeFrom="paragraph">
              <wp:posOffset>-299720</wp:posOffset>
            </wp:positionV>
            <wp:extent cx="1819275" cy="962025"/>
            <wp:effectExtent l="0" t="0" r="9525" b="9525"/>
            <wp:wrapNone/>
            <wp:docPr id="2" name="Afbeelding 2" descr="https://www.ggdflevoland.nl/siteassets/img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s://www.ggdflevoland.nl/siteassets/img/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6B6F48C">
        <w:br/>
      </w:r>
    </w:p>
    <w:p w14:paraId="0E26A762" w14:textId="592AC888" w:rsidR="00FA6156" w:rsidRDefault="00762C65" w:rsidP="6AAB5E47">
      <w:pPr>
        <w:spacing w:before="240" w:after="240"/>
        <w:rPr>
          <w:rStyle w:val="Heading2Char"/>
        </w:rPr>
      </w:pPr>
      <w:r>
        <w:rPr>
          <w:rStyle w:val="Heading2Char"/>
        </w:rPr>
        <w:br/>
      </w:r>
      <w:r w:rsidR="5E151D9C" w:rsidRPr="6AAB5E47">
        <w:rPr>
          <w:rStyle w:val="Heading2Char"/>
        </w:rPr>
        <w:t xml:space="preserve">Opstellen en afronden toezichtsrapport Wmo </w:t>
      </w:r>
    </w:p>
    <w:p w14:paraId="5D01078F" w14:textId="7FD7096F" w:rsidR="00FA6156" w:rsidRDefault="76B6F48C" w:rsidP="00C767EB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Opstellen conceptrapportage</w:t>
      </w:r>
    </w:p>
    <w:p w14:paraId="13BE5659" w14:textId="684EAC3A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De toezichthouders stellen een conceptrapportage op volgens het vier-ogen-principe.</w:t>
      </w:r>
    </w:p>
    <w:p w14:paraId="08C1CB00" w14:textId="509D3429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Een derde toezichthouder leest het rapport mee. Indien nodig, wordt de rapportage besproken tijdens het werkoverleg van het team Toezicht Wmo van GGD Flevoland.</w:t>
      </w:r>
    </w:p>
    <w:p w14:paraId="4316F660" w14:textId="21902639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Indien vereist, wordt een jurist van GGD Flevoland betrokken bij de vaststelling van het conceptrapport.</w:t>
      </w:r>
    </w:p>
    <w:p w14:paraId="3E05FED8" w14:textId="4E34C9CF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Er wordt gestreefd naar consensus over de opbouw en uitkomsten van het onderzoek. Bij principiële verschillen van inzicht neemt de eindverantwoordelijke voor het Toezicht Wmo het uiteindelijke besluit.</w:t>
      </w:r>
    </w:p>
    <w:p w14:paraId="67912F24" w14:textId="2F26D113" w:rsidR="00FA6156" w:rsidRDefault="76B6F48C" w:rsidP="00C767EB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Versturen conceptrapportage naar aanbieder</w:t>
      </w:r>
    </w:p>
    <w:p w14:paraId="7CB5AF7B" w14:textId="0AF088D4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De toezichthouders sturen de conceptrapportage naar de aanbieder.</w:t>
      </w:r>
    </w:p>
    <w:p w14:paraId="5F505511" w14:textId="5B569850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Waar nodig wordt het rapport mondeling toegelicht aan de aanbieder.</w:t>
      </w:r>
    </w:p>
    <w:p w14:paraId="77BFAD71" w14:textId="4BDD2C5B" w:rsidR="00FA6156" w:rsidRDefault="76B6F48C" w:rsidP="00C767EB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Reactie van de aanbieder</w:t>
      </w:r>
    </w:p>
    <w:p w14:paraId="4E565A8B" w14:textId="3914FB6A" w:rsidR="00DA236D" w:rsidRPr="00DA236D" w:rsidRDefault="00FC1E5B" w:rsidP="00DA236D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FC1E5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De aanbieder heeft twee weken na ontvangst van het conceptrapport </w:t>
      </w:r>
      <w:r w:rsidR="00213155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de tijd </w:t>
      </w:r>
      <w:r w:rsidRPr="00FC1E5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om feitelijke onjuistheden en een zienswijze in te dienen. </w:t>
      </w:r>
      <w:r w:rsidR="00DA236D" w:rsidRPr="00DA236D">
        <w:rPr>
          <w:rFonts w:ascii="Verdana" w:eastAsia="Verdana" w:hAnsi="Verdana" w:cs="Verdana"/>
          <w:color w:val="000000" w:themeColor="text1"/>
          <w:sz w:val="18"/>
          <w:szCs w:val="18"/>
        </w:rPr>
        <w:t>De aanbieder wordt verzocht de zienswijze te beperken tot één A4</w:t>
      </w:r>
      <w:r w:rsidR="00B92198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(Word-bestand)</w:t>
      </w:r>
      <w:r w:rsidR="00DA236D" w:rsidRPr="00DA236D">
        <w:rPr>
          <w:rFonts w:ascii="Verdana" w:eastAsia="Verdana" w:hAnsi="Verdana" w:cs="Verdana"/>
          <w:color w:val="000000" w:themeColor="text1"/>
          <w:sz w:val="18"/>
          <w:szCs w:val="18"/>
        </w:rPr>
        <w:t>.</w:t>
      </w:r>
      <w:r w:rsidR="00DA236D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DA236D" w:rsidRPr="00DA236D">
        <w:rPr>
          <w:rFonts w:ascii="Verdana" w:eastAsia="Verdana" w:hAnsi="Verdana" w:cs="Verdana"/>
          <w:color w:val="000000" w:themeColor="text1"/>
          <w:sz w:val="18"/>
          <w:szCs w:val="18"/>
        </w:rPr>
        <w:t>Er mogen geen herleidbare (persoons)gegevens in worden opgenomen.</w:t>
      </w:r>
    </w:p>
    <w:p w14:paraId="4D5BC93E" w14:textId="57F8CE60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>Indien noodzakelijk worden op basis van de feitelijke onjuistheden en zienswijze aanpassingen doorgevoerd in het rapport.</w:t>
      </w:r>
    </w:p>
    <w:p w14:paraId="67B799DF" w14:textId="34ED773E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De zienswijze van de aanbieder wordt opgenomen </w:t>
      </w:r>
      <w:r w:rsidR="0879A6A0" w:rsidRPr="024787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aan het einde van </w:t>
      </w: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>het rapport.</w:t>
      </w:r>
    </w:p>
    <w:p w14:paraId="3237E75D" w14:textId="54F36A0F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Indien de aanbieder een gesprek wenst over het conceptrapport in het kader van hoor en wederhoor, wordt dit gefaciliteerd door de toezichthouders.</w:t>
      </w:r>
    </w:p>
    <w:p w14:paraId="0FD0E5C8" w14:textId="74B0EA82" w:rsidR="00FA6156" w:rsidRDefault="76B6F48C" w:rsidP="00C767EB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Vaststelling en verzending definitief rapport</w:t>
      </w:r>
    </w:p>
    <w:p w14:paraId="5D7654F4" w14:textId="1EBD82E8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Zodra de termijn voor het indienen van feitelijke onjuistheden en/of een zienswijze is verstreken, wordt het conceptrapport vastgesteld en definitief gemaakt.</w:t>
      </w:r>
    </w:p>
    <w:p w14:paraId="70301C2B" w14:textId="79552E39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Het definitieve rapport, inclusief de zienswijze van de aanbieder, wordt verstuurd naar:</w:t>
      </w:r>
    </w:p>
    <w:p w14:paraId="19E92E81" w14:textId="40649366" w:rsidR="00FA6156" w:rsidRDefault="76B6F48C" w:rsidP="00C767EB">
      <w:pPr>
        <w:pStyle w:val="ListParagraph"/>
        <w:numPr>
          <w:ilvl w:val="2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>De directie of raad van bestuur van de aanbieder.</w:t>
      </w:r>
    </w:p>
    <w:p w14:paraId="7CC6273B" w14:textId="7DA33B4F" w:rsidR="00FA6156" w:rsidRDefault="76B6F48C" w:rsidP="00C767EB">
      <w:pPr>
        <w:pStyle w:val="ListParagraph"/>
        <w:numPr>
          <w:ilvl w:val="2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>De gemeente waar de aanbieder een inkooprelatie mee heeft.</w:t>
      </w:r>
    </w:p>
    <w:p w14:paraId="267083E8" w14:textId="735C09D2" w:rsidR="00FA6156" w:rsidRDefault="76B6F48C" w:rsidP="00C767EB">
      <w:pPr>
        <w:pStyle w:val="ListParagraph"/>
        <w:numPr>
          <w:ilvl w:val="2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>De gemeente waar de locatie van de aanbieder is gevestigd.</w:t>
      </w:r>
    </w:p>
    <w:p w14:paraId="7E2D46F0" w14:textId="216B6565" w:rsidR="2570BAE8" w:rsidRDefault="2570BAE8" w:rsidP="02478790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sz w:val="18"/>
          <w:szCs w:val="18"/>
        </w:rPr>
      </w:pPr>
      <w:r w:rsidRPr="02478790">
        <w:rPr>
          <w:rFonts w:ascii="Verdana" w:eastAsia="Verdana" w:hAnsi="Verdana" w:cs="Verdana"/>
          <w:sz w:val="18"/>
          <w:szCs w:val="18"/>
        </w:rPr>
        <w:t>Als een aanbieder ondersteuning verleent via onderaanneming, ligt de verantwoordelijkheid bij de onderaannemer om de hoofdaannemer te informeren over de inhoud van het toezichtsrapport.</w:t>
      </w:r>
    </w:p>
    <w:p w14:paraId="4112F966" w14:textId="7F0735E5" w:rsidR="00FA6156" w:rsidRDefault="76B6F48C" w:rsidP="00C767EB">
      <w:pPr>
        <w:pStyle w:val="ListParagraph"/>
        <w:numPr>
          <w:ilvl w:val="0"/>
          <w:numId w:val="1"/>
        </w:numPr>
        <w:spacing w:before="240" w:after="24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>Openbaarmaking en besluitvorming door gemeenten</w:t>
      </w:r>
    </w:p>
    <w:p w14:paraId="35810DDD" w14:textId="5D4E633C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Indien toezichtrapporten openbaar worden gemaakt, worden aanbieders hier vooraf over geïnformeerd.</w:t>
      </w:r>
    </w:p>
    <w:p w14:paraId="18B089D5" w14:textId="4FDFABEC" w:rsidR="00FA6156" w:rsidRDefault="76B6F48C" w:rsidP="00C767EB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De gemeente die verantwoordelijk is voor de financiering van de voorziening neemt binnen zes weken een besluit over de adviezen uit het definitieve rapport.</w:t>
      </w:r>
    </w:p>
    <w:p w14:paraId="078F00F6" w14:textId="65C3091A" w:rsidR="76B6F48C" w:rsidRDefault="76B6F48C" w:rsidP="02478790">
      <w:pPr>
        <w:pStyle w:val="ListParagraph"/>
        <w:numPr>
          <w:ilvl w:val="1"/>
          <w:numId w:val="1"/>
        </w:numPr>
        <w:spacing w:after="0" w:line="276" w:lineRule="auto"/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2478790">
        <w:rPr>
          <w:rFonts w:ascii="Verdana" w:eastAsia="Verdana" w:hAnsi="Verdana" w:cs="Verdana"/>
          <w:color w:val="000000" w:themeColor="text1"/>
          <w:sz w:val="18"/>
          <w:szCs w:val="18"/>
        </w:rPr>
        <w:t>Dit besluit wordt door de gemeente gecommuniceerd met de aanbieder en met het team Toezicht Wmo van GGD Flevoland.</w:t>
      </w:r>
      <w:r w:rsidR="35D87E27" w:rsidRPr="02478790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7B5CAEB5" w14:textId="5FD52B6D" w:rsidR="00FA6156" w:rsidRDefault="76B6F48C" w:rsidP="003656BF">
      <w:pPr>
        <w:spacing w:before="240" w:after="240" w:line="276" w:lineRule="auto"/>
      </w:pPr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Met deze procesgang wordt gestreefd naar een zorgvuldige, transparante en gestructureerde aanpak van toezicht en rapportage binnen het </w:t>
      </w:r>
      <w:proofErr w:type="spellStart"/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>Wmo-toezicht</w:t>
      </w:r>
      <w:proofErr w:type="spellEnd"/>
      <w:r w:rsidRPr="7F51FCFB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van GGD Flevoland.</w:t>
      </w:r>
    </w:p>
    <w:sectPr w:rsidR="00FA61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4451" w14:textId="77777777" w:rsidR="001E5F31" w:rsidRDefault="001E5F31" w:rsidP="00437915">
      <w:pPr>
        <w:spacing w:after="0" w:line="240" w:lineRule="auto"/>
      </w:pPr>
      <w:r>
        <w:separator/>
      </w:r>
    </w:p>
  </w:endnote>
  <w:endnote w:type="continuationSeparator" w:id="0">
    <w:p w14:paraId="73EA6652" w14:textId="77777777" w:rsidR="001E5F31" w:rsidRDefault="001E5F31" w:rsidP="0043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E520B" w14:textId="4A0609F1" w:rsidR="000E161B" w:rsidRPr="00D13AD6" w:rsidRDefault="000E161B" w:rsidP="000E161B">
    <w:pPr>
      <w:pStyle w:val="Footer"/>
      <w:jc w:val="center"/>
      <w:rPr>
        <w:sz w:val="18"/>
        <w:szCs w:val="18"/>
      </w:rPr>
    </w:pPr>
    <w:r w:rsidRPr="00D13AD6">
      <w:rPr>
        <w:sz w:val="18"/>
        <w:szCs w:val="18"/>
      </w:rPr>
      <w:t xml:space="preserve">Procedure </w:t>
    </w:r>
    <w:r w:rsidR="00D13AD6" w:rsidRPr="00D13AD6">
      <w:rPr>
        <w:sz w:val="18"/>
        <w:szCs w:val="18"/>
      </w:rPr>
      <w:t>opstellen toezichtsrapport</w:t>
    </w:r>
  </w:p>
  <w:p w14:paraId="0C674931" w14:textId="06E34538" w:rsidR="00D13AD6" w:rsidRPr="00D13AD6" w:rsidRDefault="00D13AD6" w:rsidP="000E161B">
    <w:pPr>
      <w:pStyle w:val="Footer"/>
      <w:jc w:val="center"/>
      <w:rPr>
        <w:sz w:val="18"/>
        <w:szCs w:val="18"/>
      </w:rPr>
    </w:pPr>
    <w:r w:rsidRPr="00D13AD6">
      <w:rPr>
        <w:sz w:val="18"/>
        <w:szCs w:val="18"/>
      </w:rPr>
      <w:t>Toezicht Wmo</w:t>
    </w:r>
  </w:p>
  <w:p w14:paraId="5218B1D4" w14:textId="77777777" w:rsidR="00437915" w:rsidRDefault="00437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E5401" w14:textId="77777777" w:rsidR="001E5F31" w:rsidRDefault="001E5F31" w:rsidP="00437915">
      <w:pPr>
        <w:spacing w:after="0" w:line="240" w:lineRule="auto"/>
      </w:pPr>
      <w:r>
        <w:separator/>
      </w:r>
    </w:p>
  </w:footnote>
  <w:footnote w:type="continuationSeparator" w:id="0">
    <w:p w14:paraId="423A5148" w14:textId="77777777" w:rsidR="001E5F31" w:rsidRDefault="001E5F31" w:rsidP="0043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4604B"/>
    <w:multiLevelType w:val="hybridMultilevel"/>
    <w:tmpl w:val="32344F2C"/>
    <w:lvl w:ilvl="0" w:tplc="CE8A267E">
      <w:start w:val="1"/>
      <w:numFmt w:val="decimal"/>
      <w:lvlText w:val="%1."/>
      <w:lvlJc w:val="left"/>
      <w:pPr>
        <w:ind w:left="720" w:hanging="360"/>
      </w:pPr>
    </w:lvl>
    <w:lvl w:ilvl="1" w:tplc="0554AA22">
      <w:start w:val="1"/>
      <w:numFmt w:val="lowerLetter"/>
      <w:lvlText w:val="%2."/>
      <w:lvlJc w:val="left"/>
      <w:pPr>
        <w:ind w:left="1440" w:hanging="360"/>
      </w:pPr>
    </w:lvl>
    <w:lvl w:ilvl="2" w:tplc="5B2E7778">
      <w:start w:val="1"/>
      <w:numFmt w:val="lowerRoman"/>
      <w:lvlText w:val="%3."/>
      <w:lvlJc w:val="right"/>
      <w:pPr>
        <w:ind w:left="2160" w:hanging="180"/>
      </w:pPr>
    </w:lvl>
    <w:lvl w:ilvl="3" w:tplc="BE0E9966">
      <w:start w:val="1"/>
      <w:numFmt w:val="decimal"/>
      <w:lvlText w:val="%4."/>
      <w:lvlJc w:val="left"/>
      <w:pPr>
        <w:ind w:left="2880" w:hanging="360"/>
      </w:pPr>
    </w:lvl>
    <w:lvl w:ilvl="4" w:tplc="48F2EF82">
      <w:start w:val="1"/>
      <w:numFmt w:val="lowerLetter"/>
      <w:lvlText w:val="%5."/>
      <w:lvlJc w:val="left"/>
      <w:pPr>
        <w:ind w:left="3600" w:hanging="360"/>
      </w:pPr>
    </w:lvl>
    <w:lvl w:ilvl="5" w:tplc="DFF09C08">
      <w:start w:val="1"/>
      <w:numFmt w:val="lowerRoman"/>
      <w:lvlText w:val="%6."/>
      <w:lvlJc w:val="right"/>
      <w:pPr>
        <w:ind w:left="4320" w:hanging="180"/>
      </w:pPr>
    </w:lvl>
    <w:lvl w:ilvl="6" w:tplc="51E4F784">
      <w:start w:val="1"/>
      <w:numFmt w:val="decimal"/>
      <w:lvlText w:val="%7."/>
      <w:lvlJc w:val="left"/>
      <w:pPr>
        <w:ind w:left="5040" w:hanging="360"/>
      </w:pPr>
    </w:lvl>
    <w:lvl w:ilvl="7" w:tplc="05746CC8">
      <w:start w:val="1"/>
      <w:numFmt w:val="lowerLetter"/>
      <w:lvlText w:val="%8."/>
      <w:lvlJc w:val="left"/>
      <w:pPr>
        <w:ind w:left="5760" w:hanging="360"/>
      </w:pPr>
    </w:lvl>
    <w:lvl w:ilvl="8" w:tplc="A63AB3AE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95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9424A2"/>
    <w:rsid w:val="000338CC"/>
    <w:rsid w:val="000E161B"/>
    <w:rsid w:val="001C26E2"/>
    <w:rsid w:val="001E5F31"/>
    <w:rsid w:val="00213155"/>
    <w:rsid w:val="0023139C"/>
    <w:rsid w:val="00260ED0"/>
    <w:rsid w:val="002A55D6"/>
    <w:rsid w:val="003656BF"/>
    <w:rsid w:val="003B753A"/>
    <w:rsid w:val="00437915"/>
    <w:rsid w:val="0047192D"/>
    <w:rsid w:val="00611912"/>
    <w:rsid w:val="00613B95"/>
    <w:rsid w:val="00680632"/>
    <w:rsid w:val="006F18F5"/>
    <w:rsid w:val="00762C65"/>
    <w:rsid w:val="008D73D3"/>
    <w:rsid w:val="009D0B93"/>
    <w:rsid w:val="00AB51A8"/>
    <w:rsid w:val="00AC7056"/>
    <w:rsid w:val="00B76BFC"/>
    <w:rsid w:val="00B92198"/>
    <w:rsid w:val="00BC66D2"/>
    <w:rsid w:val="00BD62CE"/>
    <w:rsid w:val="00C02425"/>
    <w:rsid w:val="00C66B96"/>
    <w:rsid w:val="00C767EB"/>
    <w:rsid w:val="00D13AD6"/>
    <w:rsid w:val="00D84438"/>
    <w:rsid w:val="00DA236D"/>
    <w:rsid w:val="00DF306A"/>
    <w:rsid w:val="00E447B4"/>
    <w:rsid w:val="00F269BC"/>
    <w:rsid w:val="00F313CB"/>
    <w:rsid w:val="00FA6156"/>
    <w:rsid w:val="00FC1E5B"/>
    <w:rsid w:val="019424A2"/>
    <w:rsid w:val="02478790"/>
    <w:rsid w:val="0879A6A0"/>
    <w:rsid w:val="0E8AAC0A"/>
    <w:rsid w:val="1DF99B7C"/>
    <w:rsid w:val="2141CA8A"/>
    <w:rsid w:val="2570BAE8"/>
    <w:rsid w:val="2E0FA071"/>
    <w:rsid w:val="35D87E27"/>
    <w:rsid w:val="4B56E644"/>
    <w:rsid w:val="5E151D9C"/>
    <w:rsid w:val="6AAB5E47"/>
    <w:rsid w:val="74EBF4F8"/>
    <w:rsid w:val="76B6F48C"/>
    <w:rsid w:val="7D6D217A"/>
    <w:rsid w:val="7F51F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24A2"/>
  <w15:chartTrackingRefBased/>
  <w15:docId w15:val="{0266DBB4-4CAA-4360-B4D8-8276E52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7F51FCFB"/>
    <w:pPr>
      <w:ind w:left="720"/>
      <w:contextualSpacing/>
    </w:pPr>
  </w:style>
  <w:style w:type="character" w:customStyle="1" w:styleId="Heading2Char">
    <w:name w:val="Heading 2 Char"/>
    <w:basedOn w:val="DefaultParagraphFont"/>
    <w:uiPriority w:val="9"/>
    <w:rsid w:val="6AAB5E47"/>
    <w:rPr>
      <w:rFonts w:asciiTheme="majorHAnsi" w:eastAsiaTheme="minorEastAsia" w:hAnsiTheme="majorHAnsi" w:cstheme="majorEastAsia"/>
      <w:color w:val="0F4761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236D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3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915"/>
  </w:style>
  <w:style w:type="paragraph" w:styleId="Footer">
    <w:name w:val="footer"/>
    <w:basedOn w:val="Normal"/>
    <w:link w:val="FooterChar"/>
    <w:uiPriority w:val="99"/>
    <w:unhideWhenUsed/>
    <w:rsid w:val="00437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C2028F9F4D14EA1857CF8B5B38F44" ma:contentTypeVersion="19" ma:contentTypeDescription="Een nieuw document maken." ma:contentTypeScope="" ma:versionID="2a1dee89abf57b8e9d70e2b0107556ff">
  <xsd:schema xmlns:xsd="http://www.w3.org/2001/XMLSchema" xmlns:xs="http://www.w3.org/2001/XMLSchema" xmlns:p="http://schemas.microsoft.com/office/2006/metadata/properties" xmlns:ns2="a9e03078-9248-4b8b-8a5c-259276866c99" xmlns:ns3="c80f7e4e-d54d-4437-bc48-c2e10cec5530" targetNamespace="http://schemas.microsoft.com/office/2006/metadata/properties" ma:root="true" ma:fieldsID="ed0505f21d905b94eac8c263591adb15" ns2:_="" ns3:_="">
    <xsd:import namespace="a9e03078-9248-4b8b-8a5c-259276866c99"/>
    <xsd:import namespace="c80f7e4e-d54d-4437-bc48-c2e10cec5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belangrijk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03078-9248-4b8b-8a5c-259276866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395f63c-74b3-486f-a9d7-514361a211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langrijkdocument" ma:index="25" nillable="true" ma:displayName="belangrijk document" ma:format="Dropdown" ma:internalName="belangrijkdocume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7e4e-d54d-4437-bc48-c2e10cec5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db6d463-5ef5-45cb-9f70-e7fe48352eaf}" ma:internalName="TaxCatchAll" ma:showField="CatchAllData" ma:web="c80f7e4e-d54d-4437-bc48-c2e10cec5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f7e4e-d54d-4437-bc48-c2e10cec5530" xsi:nil="true"/>
    <belangrijkdocument xmlns="a9e03078-9248-4b8b-8a5c-259276866c99" xsi:nil="true"/>
    <lcf76f155ced4ddcb4097134ff3c332f xmlns="a9e03078-9248-4b8b-8a5c-259276866c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FDFA0E-32FA-4F3F-8DEE-ED6F172D0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03078-9248-4b8b-8a5c-259276866c99"/>
    <ds:schemaRef ds:uri="c80f7e4e-d54d-4437-bc48-c2e10cec5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61042-945E-4180-8DF9-04B80BE4CE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15FE6-B9CC-48F6-96C4-DE31B10799CC}">
  <ds:schemaRefs>
    <ds:schemaRef ds:uri="http://schemas.microsoft.com/office/2006/metadata/properties"/>
    <ds:schemaRef ds:uri="http://schemas.microsoft.com/office/infopath/2007/PartnerControls"/>
    <ds:schemaRef ds:uri="c80f7e4e-d54d-4437-bc48-c2e10cec5530"/>
    <ds:schemaRef ds:uri="a9e03078-9248-4b8b-8a5c-259276866c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401</Words>
  <Characters>2291</Characters>
  <Application>Microsoft Office Word</Application>
  <DocSecurity>4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Boeve</dc:creator>
  <cp:keywords/>
  <dc:description/>
  <cp:lastModifiedBy>Brenda Boeve</cp:lastModifiedBy>
  <cp:revision>33</cp:revision>
  <dcterms:created xsi:type="dcterms:W3CDTF">2025-01-21T18:00:00Z</dcterms:created>
  <dcterms:modified xsi:type="dcterms:W3CDTF">2025-03-04T08:45:00Z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0x010100440C2028F9F4D14EA1857CF8B5B38F44</vt:lpwstr>
  </property>
  <property fmtid="{D5CDD505-2E9C-101B-9397-08002B2CF9AE}" pid="3" name="MediaServiceImageTags">
    <vt:lpwstr/>
  </property>
</Properties>
</file>